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80437" w14:textId="77777777" w:rsidR="00D46816" w:rsidRDefault="005E720B">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bookmarkStart w:id="0" w:name="_GoBack"/>
      <w:bookmarkEnd w:id="0"/>
      <w:r>
        <w:t xml:space="preserve">    </w:t>
      </w:r>
      <w:r>
        <w:rPr>
          <w:rFonts w:ascii="Arial" w:eastAsia="Arial" w:hAnsi="Arial" w:cs="Arial"/>
          <w:sz w:val="36"/>
          <w:szCs w:val="36"/>
        </w:rPr>
        <w:t xml:space="preserve"> </w:t>
      </w:r>
      <w:r>
        <w:rPr>
          <w:rFonts w:ascii="Arial" w:eastAsia="Arial" w:hAnsi="Arial" w:cs="Arial"/>
          <w:b/>
          <w:color w:val="000000"/>
          <w:sz w:val="36"/>
          <w:szCs w:val="36"/>
        </w:rPr>
        <w:t>Order Schedule 6 (ICT Services)</w:t>
      </w:r>
    </w:p>
    <w:p w14:paraId="42A69303" w14:textId="77777777" w:rsidR="00D46816" w:rsidRDefault="00D46816">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0B62BC8D" w14:textId="77777777" w:rsidR="00D46816" w:rsidRDefault="005E720B">
      <w:pPr>
        <w:numPr>
          <w:ilvl w:val="0"/>
          <w:numId w:val="2"/>
        </w:numPr>
        <w:pBdr>
          <w:top w:val="nil"/>
          <w:left w:val="nil"/>
          <w:bottom w:val="nil"/>
          <w:right w:val="nil"/>
          <w:between w:val="nil"/>
        </w:pBdr>
        <w:tabs>
          <w:tab w:val="left" w:pos="0"/>
          <w:tab w:val="left" w:pos="142"/>
        </w:tabs>
        <w:spacing w:before="120" w:after="240" w:line="240" w:lineRule="auto"/>
        <w:rPr>
          <w:b/>
          <w:color w:val="000000"/>
          <w:sz w:val="24"/>
          <w:szCs w:val="24"/>
        </w:rPr>
      </w:pPr>
      <w:r>
        <w:rPr>
          <w:b/>
          <w:color w:val="000000"/>
          <w:sz w:val="24"/>
          <w:szCs w:val="24"/>
        </w:rPr>
        <w:t>Definitions</w:t>
      </w:r>
    </w:p>
    <w:p w14:paraId="65E81442" w14:textId="77777777" w:rsidR="00D46816" w:rsidRDefault="005E720B">
      <w:pPr>
        <w:keepNext/>
        <w:keepLines/>
        <w:numPr>
          <w:ilvl w:val="1"/>
          <w:numId w:val="2"/>
        </w:numPr>
        <w:pBdr>
          <w:top w:val="nil"/>
          <w:left w:val="nil"/>
          <w:bottom w:val="nil"/>
          <w:right w:val="nil"/>
          <w:between w:val="nil"/>
        </w:pBdr>
        <w:tabs>
          <w:tab w:val="left" w:pos="1134"/>
        </w:tabs>
        <w:spacing w:before="120" w:after="120" w:line="240" w:lineRule="auto"/>
        <w:ind w:left="567" w:hanging="567"/>
        <w:rPr>
          <w:color w:val="000000"/>
          <w:sz w:val="24"/>
          <w:szCs w:val="24"/>
        </w:rPr>
      </w:pPr>
      <w:bookmarkStart w:id="1" w:name="_heading=h.1pxezwc" w:colFirst="0" w:colLast="0"/>
      <w:bookmarkEnd w:id="1"/>
      <w:r>
        <w:rPr>
          <w:color w:val="000000"/>
          <w:sz w:val="24"/>
          <w:szCs w:val="24"/>
        </w:rPr>
        <w:t xml:space="preserve">In </w:t>
      </w:r>
      <w:r>
        <w:rPr>
          <w:rFonts w:ascii="Arial" w:eastAsia="Arial" w:hAnsi="Arial" w:cs="Arial"/>
          <w:color w:val="000000"/>
          <w:sz w:val="24"/>
          <w:szCs w:val="24"/>
        </w:rPr>
        <w:t>this Schedule, the following words shall have the following meanings and they shall supplement Joint Schedule 1 (Definitions):</w:t>
      </w:r>
    </w:p>
    <w:tbl>
      <w:tblPr>
        <w:tblStyle w:val="a"/>
        <w:tblW w:w="8198" w:type="dxa"/>
        <w:tblInd w:w="828" w:type="dxa"/>
        <w:tblLayout w:type="fixed"/>
        <w:tblLook w:val="0400" w:firstRow="0" w:lastRow="0" w:firstColumn="0" w:lastColumn="0" w:noHBand="0" w:noVBand="1"/>
      </w:tblPr>
      <w:tblGrid>
        <w:gridCol w:w="2736"/>
        <w:gridCol w:w="5462"/>
      </w:tblGrid>
      <w:tr w:rsidR="00D46816" w14:paraId="614EB56F" w14:textId="77777777">
        <w:tc>
          <w:tcPr>
            <w:tcW w:w="2736" w:type="dxa"/>
            <w:shd w:val="clear" w:color="auto" w:fill="auto"/>
          </w:tcPr>
          <w:p w14:paraId="135E1A2C"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"Agency System"</w:t>
            </w:r>
          </w:p>
        </w:tc>
        <w:tc>
          <w:tcPr>
            <w:tcW w:w="5462" w:type="dxa"/>
            <w:shd w:val="clear" w:color="auto" w:fill="auto"/>
          </w:tcPr>
          <w:p w14:paraId="1C1EB692"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Agency in supplying the Goods or Services, including the COTS Software, the Agency Equipment, configuration and management utilities, calibration and testing tools and related cabling (but excluding the Client System);</w:t>
            </w:r>
          </w:p>
        </w:tc>
      </w:tr>
      <w:tr w:rsidR="00D46816" w14:paraId="0B9A1017" w14:textId="77777777">
        <w:tc>
          <w:tcPr>
            <w:tcW w:w="2736" w:type="dxa"/>
            <w:shd w:val="clear" w:color="auto" w:fill="auto"/>
          </w:tcPr>
          <w:p w14:paraId="23935E95"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 xml:space="preserve">"Client Property" </w:t>
            </w:r>
          </w:p>
        </w:tc>
        <w:tc>
          <w:tcPr>
            <w:tcW w:w="5462" w:type="dxa"/>
            <w:shd w:val="clear" w:color="auto" w:fill="auto"/>
          </w:tcPr>
          <w:p w14:paraId="67A04C40"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Client System, any equipment issued or made available to the Agency by the Client in connection with this Contract;</w:t>
            </w:r>
          </w:p>
        </w:tc>
      </w:tr>
      <w:tr w:rsidR="00D46816" w14:paraId="4C4AFD29" w14:textId="77777777">
        <w:tc>
          <w:tcPr>
            <w:tcW w:w="2736" w:type="dxa"/>
            <w:shd w:val="clear" w:color="auto" w:fill="auto"/>
          </w:tcPr>
          <w:p w14:paraId="3067F7DB"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"Client Software"</w:t>
            </w:r>
          </w:p>
        </w:tc>
        <w:tc>
          <w:tcPr>
            <w:tcW w:w="5462" w:type="dxa"/>
            <w:shd w:val="clear" w:color="auto" w:fill="auto"/>
          </w:tcPr>
          <w:p w14:paraId="1F9C5A90"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Client and which is or will be used by the Agency for the purposes of providing the Goods or Services;</w:t>
            </w:r>
          </w:p>
        </w:tc>
      </w:tr>
      <w:tr w:rsidR="00D46816" w14:paraId="54B205D2" w14:textId="77777777">
        <w:tc>
          <w:tcPr>
            <w:tcW w:w="2736" w:type="dxa"/>
            <w:shd w:val="clear" w:color="auto" w:fill="auto"/>
          </w:tcPr>
          <w:p w14:paraId="73DEE63B"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"Client System"</w:t>
            </w:r>
          </w:p>
        </w:tc>
        <w:tc>
          <w:tcPr>
            <w:tcW w:w="5462" w:type="dxa"/>
            <w:shd w:val="clear" w:color="auto" w:fill="auto"/>
          </w:tcPr>
          <w:p w14:paraId="49336B8E"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the Client's computing environment (consisting of hardware, software and/or telecommunications networks or equipment) used by the Client or the Agency in connection with this Contract which is owned by or licensed to the Client by a third party and which interfaces with the Agency System or which is necessary for the Client to receive the Goods or Services;</w:t>
            </w:r>
          </w:p>
        </w:tc>
      </w:tr>
      <w:tr w:rsidR="00D46816" w14:paraId="7149F453" w14:textId="77777777">
        <w:tc>
          <w:tcPr>
            <w:tcW w:w="2736" w:type="dxa"/>
            <w:shd w:val="clear" w:color="auto" w:fill="auto"/>
          </w:tcPr>
          <w:p w14:paraId="4C961DF5"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Software”</w:t>
            </w:r>
          </w:p>
        </w:tc>
        <w:tc>
          <w:tcPr>
            <w:tcW w:w="5462" w:type="dxa"/>
            <w:shd w:val="clear" w:color="auto" w:fill="auto"/>
          </w:tcPr>
          <w:p w14:paraId="36082396"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Agency or a third party depending on the context, and which is commercially available for purchase and subject to standard licence terms</w:t>
            </w:r>
          </w:p>
        </w:tc>
      </w:tr>
      <w:tr w:rsidR="00D46816" w14:paraId="18AAF2A0" w14:textId="77777777">
        <w:tc>
          <w:tcPr>
            <w:tcW w:w="2736" w:type="dxa"/>
            <w:shd w:val="clear" w:color="auto" w:fill="auto"/>
          </w:tcPr>
          <w:p w14:paraId="3D2F1541"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"Defect"</w:t>
            </w:r>
          </w:p>
        </w:tc>
        <w:tc>
          <w:tcPr>
            <w:tcW w:w="5462" w:type="dxa"/>
            <w:shd w:val="clear" w:color="auto" w:fill="auto"/>
          </w:tcPr>
          <w:p w14:paraId="524F3741" w14:textId="77777777" w:rsidR="00D46816" w:rsidRDefault="005E720B">
            <w:pPr>
              <w:pBdr>
                <w:top w:val="nil"/>
                <w:left w:val="nil"/>
                <w:bottom w:val="nil"/>
                <w:right w:val="nil"/>
                <w:between w:val="nil"/>
              </w:pBdr>
              <w:tabs>
                <w:tab w:val="left" w:pos="175"/>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44078DE2" w14:textId="77777777" w:rsidR="00D46816" w:rsidRDefault="005E720B">
            <w:pPr>
              <w:rPr>
                <w:rFonts w:ascii="Arial" w:eastAsia="Arial" w:hAnsi="Arial" w:cs="Arial"/>
                <w:color w:val="000000"/>
                <w:sz w:val="24"/>
                <w:szCs w:val="24"/>
              </w:rPr>
            </w:pPr>
            <w:r>
              <w:rPr>
                <w:rFonts w:ascii="Arial" w:eastAsia="Arial" w:hAnsi="Arial" w:cs="Arial"/>
                <w:color w:val="000000"/>
                <w:sz w:val="24"/>
                <w:szCs w:val="24"/>
              </w:rPr>
              <w:t>any error, damage or defect in the manufacturing of Goods or Services; or</w:t>
            </w:r>
          </w:p>
          <w:p w14:paraId="70DAE5B3" w14:textId="77777777" w:rsidR="00D46816" w:rsidRDefault="005E720B">
            <w:pPr>
              <w:pBdr>
                <w:top w:val="nil"/>
                <w:left w:val="nil"/>
                <w:bottom w:val="nil"/>
                <w:right w:val="nil"/>
                <w:between w:val="nil"/>
              </w:pBdr>
              <w:spacing w:after="120"/>
              <w:ind w:left="170" w:hanging="714"/>
              <w:rPr>
                <w:rFonts w:ascii="Arial" w:eastAsia="Arial" w:hAnsi="Arial" w:cs="Arial"/>
                <w:color w:val="000000"/>
                <w:sz w:val="24"/>
                <w:szCs w:val="24"/>
              </w:rPr>
            </w:pPr>
            <w:r>
              <w:rPr>
                <w:rFonts w:ascii="Arial" w:eastAsia="Arial" w:hAnsi="Arial" w:cs="Arial"/>
                <w:color w:val="000000"/>
                <w:sz w:val="24"/>
                <w:szCs w:val="24"/>
              </w:rPr>
              <w:lastRenderedPageBreak/>
              <w:t>any error or failure of code within the Software which causes Goods or Services to malfunction or to produce unintelligible or incorrect results; or</w:t>
            </w:r>
          </w:p>
        </w:tc>
      </w:tr>
      <w:tr w:rsidR="00D46816" w14:paraId="29E68BE5" w14:textId="77777777">
        <w:tc>
          <w:tcPr>
            <w:tcW w:w="2736" w:type="dxa"/>
            <w:shd w:val="clear" w:color="auto" w:fill="auto"/>
          </w:tcPr>
          <w:p w14:paraId="712A9B7F" w14:textId="77777777" w:rsidR="00D46816" w:rsidRDefault="00D46816">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p>
        </w:tc>
        <w:tc>
          <w:tcPr>
            <w:tcW w:w="5462" w:type="dxa"/>
            <w:shd w:val="clear" w:color="auto" w:fill="auto"/>
          </w:tcPr>
          <w:p w14:paraId="0A9C39E5" w14:textId="77777777" w:rsidR="00D46816" w:rsidRDefault="005E720B">
            <w:pPr>
              <w:rPr>
                <w:rFonts w:ascii="Arial" w:eastAsia="Arial" w:hAnsi="Arial" w:cs="Arial"/>
                <w:color w:val="000000"/>
                <w:sz w:val="24"/>
                <w:szCs w:val="24"/>
              </w:rPr>
            </w:pPr>
            <w:r>
              <w:rPr>
                <w:rFonts w:ascii="Arial" w:eastAsia="Arial" w:hAnsi="Arial" w:cs="Arial"/>
                <w:color w:val="000000"/>
                <w:sz w:val="24"/>
                <w:szCs w:val="24"/>
              </w:rPr>
              <w:t>any failure of any Goods or Services to provide the performance, features and functionality specified in the requirements of the Client or the Documentation (including any adverse effect on response times) regardless of whether or not it prevents the relevant Goods or Services from passing any Test required under this Order Contract; or</w:t>
            </w:r>
          </w:p>
          <w:p w14:paraId="2665C941" w14:textId="77777777" w:rsidR="00D46816" w:rsidRDefault="005E720B">
            <w:pPr>
              <w:pBdr>
                <w:top w:val="nil"/>
                <w:left w:val="nil"/>
                <w:bottom w:val="nil"/>
                <w:right w:val="nil"/>
                <w:between w:val="nil"/>
              </w:pBdr>
              <w:spacing w:after="120"/>
              <w:ind w:left="170" w:hanging="714"/>
              <w:rPr>
                <w:rFonts w:ascii="Arial" w:eastAsia="Arial" w:hAnsi="Arial" w:cs="Arial"/>
                <w:color w:val="000000"/>
                <w:sz w:val="24"/>
                <w:szCs w:val="24"/>
              </w:rPr>
            </w:pPr>
            <w:r>
              <w:rPr>
                <w:rFonts w:ascii="Arial" w:eastAsia="Arial" w:hAnsi="Arial" w:cs="Arial"/>
                <w:color w:val="000000"/>
                <w:sz w:val="24"/>
                <w:szCs w:val="24"/>
              </w:rPr>
              <w:t>any failure of any Goods or Services to operate in conjunction with or interface with any other Goods or Services in order to provide the performance, features and functionality specified in the requirements of the Client or the Documentation (including any adverse effect on response times) regardless of whether or not it prevents the relevant Goods or Services from passing any Test required under this Contract;</w:t>
            </w:r>
          </w:p>
        </w:tc>
      </w:tr>
      <w:tr w:rsidR="00D46816" w14:paraId="5CA3AD0E" w14:textId="77777777">
        <w:tc>
          <w:tcPr>
            <w:tcW w:w="2736" w:type="dxa"/>
            <w:shd w:val="clear" w:color="auto" w:fill="auto"/>
          </w:tcPr>
          <w:p w14:paraId="0C919C66"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"Emergency Maintenance"</w:t>
            </w:r>
          </w:p>
        </w:tc>
        <w:tc>
          <w:tcPr>
            <w:tcW w:w="5462" w:type="dxa"/>
            <w:shd w:val="clear" w:color="auto" w:fill="auto"/>
          </w:tcPr>
          <w:p w14:paraId="49299E1D"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ad hoc and unplanned maintenance provided by the Agency  where either Party reasonably suspects that the ICT Environment or the Services, or any part of the ICT Environment or the Services, has or may have developed a fault;</w:t>
            </w:r>
          </w:p>
        </w:tc>
      </w:tr>
      <w:tr w:rsidR="00D46816" w14:paraId="19D0AD71" w14:textId="77777777">
        <w:tc>
          <w:tcPr>
            <w:tcW w:w="2736" w:type="dxa"/>
            <w:shd w:val="clear" w:color="auto" w:fill="auto"/>
          </w:tcPr>
          <w:p w14:paraId="0E32C8DB"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2" w:type="dxa"/>
            <w:shd w:val="clear" w:color="auto" w:fill="auto"/>
          </w:tcPr>
          <w:p w14:paraId="4D503A12"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Client System and the Agency System;</w:t>
            </w:r>
          </w:p>
        </w:tc>
      </w:tr>
      <w:tr w:rsidR="00D46816" w14:paraId="7FDA1466" w14:textId="77777777">
        <w:tc>
          <w:tcPr>
            <w:tcW w:w="2736" w:type="dxa"/>
            <w:shd w:val="clear" w:color="auto" w:fill="auto"/>
          </w:tcPr>
          <w:p w14:paraId="759A86EA"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2" w:type="dxa"/>
            <w:shd w:val="clear" w:color="auto" w:fill="auto"/>
          </w:tcPr>
          <w:p w14:paraId="4436A80F"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all and any Software licensed by or through the Agency, its Sub-Contractors or any third party to the Client for the purposes of or pursuant to this Order Contract, including any COTS Software;</w:t>
            </w:r>
          </w:p>
        </w:tc>
      </w:tr>
      <w:tr w:rsidR="00D46816" w14:paraId="702F8EFC" w14:textId="77777777">
        <w:tc>
          <w:tcPr>
            <w:tcW w:w="2736" w:type="dxa"/>
            <w:shd w:val="clear" w:color="auto" w:fill="auto"/>
          </w:tcPr>
          <w:p w14:paraId="6C4D7BCC"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2" w:type="dxa"/>
            <w:shd w:val="clear" w:color="auto" w:fill="auto"/>
          </w:tcPr>
          <w:p w14:paraId="73932CEE"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D46816" w14:paraId="738496AE" w14:textId="77777777">
        <w:tc>
          <w:tcPr>
            <w:tcW w:w="2736" w:type="dxa"/>
            <w:shd w:val="clear" w:color="auto" w:fill="auto"/>
          </w:tcPr>
          <w:p w14:paraId="6B8D425F"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2" w:type="dxa"/>
            <w:shd w:val="clear" w:color="auto" w:fill="auto"/>
          </w:tcPr>
          <w:p w14:paraId="253814D9"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46816" w14:paraId="4AF26842" w14:textId="77777777">
        <w:tc>
          <w:tcPr>
            <w:tcW w:w="2736" w:type="dxa"/>
            <w:shd w:val="clear" w:color="auto" w:fill="auto"/>
          </w:tcPr>
          <w:p w14:paraId="409586D9"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lastRenderedPageBreak/>
              <w:t>"New Release"</w:t>
            </w:r>
          </w:p>
        </w:tc>
        <w:tc>
          <w:tcPr>
            <w:tcW w:w="5462" w:type="dxa"/>
            <w:shd w:val="clear" w:color="auto" w:fill="auto"/>
          </w:tcPr>
          <w:p w14:paraId="43631391"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Goods or Services by providing additional functionality or performance enhancement (whether or not defects in the Software and/or Goods or Services are also corrected) while still retaining the original designated purpose of that item;</w:t>
            </w:r>
          </w:p>
        </w:tc>
      </w:tr>
      <w:tr w:rsidR="00D46816" w14:paraId="6B984111" w14:textId="77777777">
        <w:tc>
          <w:tcPr>
            <w:tcW w:w="2736" w:type="dxa"/>
            <w:shd w:val="clear" w:color="auto" w:fill="auto"/>
          </w:tcPr>
          <w:p w14:paraId="509689DC"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2" w:type="dxa"/>
            <w:shd w:val="clear" w:color="auto" w:fill="auto"/>
          </w:tcPr>
          <w:p w14:paraId="3A33AD9D"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D46816" w14:paraId="23206CB0" w14:textId="77777777">
        <w:tc>
          <w:tcPr>
            <w:tcW w:w="2736" w:type="dxa"/>
            <w:shd w:val="clear" w:color="auto" w:fill="auto"/>
          </w:tcPr>
          <w:p w14:paraId="4B050BA2"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"Operating Environment"</w:t>
            </w:r>
          </w:p>
        </w:tc>
        <w:tc>
          <w:tcPr>
            <w:tcW w:w="5462" w:type="dxa"/>
            <w:shd w:val="clear" w:color="auto" w:fill="auto"/>
          </w:tcPr>
          <w:p w14:paraId="1B9C1368"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means the Client System and any premises (including the Client Premises, the Agency’s premises or third party premises) from, to or at which:</w:t>
            </w:r>
          </w:p>
          <w:p w14:paraId="4DA1302E" w14:textId="77777777" w:rsidR="00D46816" w:rsidRDefault="005E720B">
            <w:pPr>
              <w:pBdr>
                <w:top w:val="nil"/>
                <w:left w:val="nil"/>
                <w:bottom w:val="nil"/>
                <w:right w:val="nil"/>
                <w:between w:val="nil"/>
              </w:pBdr>
              <w:tabs>
                <w:tab w:val="left" w:pos="175"/>
                <w:tab w:val="left" w:pos="342"/>
              </w:tabs>
              <w:spacing w:after="120"/>
              <w:ind w:left="-18" w:hanging="714"/>
              <w:rPr>
                <w:rFonts w:ascii="Arial" w:eastAsia="Arial" w:hAnsi="Arial" w:cs="Arial"/>
                <w:color w:val="000000"/>
                <w:sz w:val="24"/>
                <w:szCs w:val="24"/>
              </w:rPr>
            </w:pPr>
            <w:r>
              <w:rPr>
                <w:rFonts w:ascii="Arial" w:eastAsia="Arial" w:hAnsi="Arial" w:cs="Arial"/>
                <w:color w:val="000000"/>
                <w:sz w:val="24"/>
                <w:szCs w:val="24"/>
              </w:rPr>
              <w:t xml:space="preserve">the Goods or Services are (or are to be) provided; or </w:t>
            </w:r>
          </w:p>
          <w:p w14:paraId="3BC245C7" w14:textId="77777777" w:rsidR="00D46816" w:rsidRDefault="005E720B">
            <w:pPr>
              <w:pBdr>
                <w:top w:val="nil"/>
                <w:left w:val="nil"/>
                <w:bottom w:val="nil"/>
                <w:right w:val="nil"/>
                <w:between w:val="nil"/>
              </w:pBdr>
              <w:tabs>
                <w:tab w:val="left" w:pos="175"/>
                <w:tab w:val="left" w:pos="342"/>
              </w:tabs>
              <w:spacing w:after="120"/>
              <w:ind w:left="-18" w:hanging="714"/>
              <w:rPr>
                <w:rFonts w:ascii="Arial" w:eastAsia="Arial" w:hAnsi="Arial" w:cs="Arial"/>
                <w:color w:val="000000"/>
                <w:sz w:val="24"/>
                <w:szCs w:val="24"/>
              </w:rPr>
            </w:pPr>
            <w:r>
              <w:rPr>
                <w:rFonts w:ascii="Arial" w:eastAsia="Arial" w:hAnsi="Arial" w:cs="Arial"/>
                <w:color w:val="000000"/>
                <w:sz w:val="24"/>
                <w:szCs w:val="24"/>
              </w:rPr>
              <w:t>the Agency manages, organises or otherwise directs the provision or the use of the Goods or Services; or</w:t>
            </w:r>
          </w:p>
          <w:p w14:paraId="26FBC0CE" w14:textId="77777777" w:rsidR="00D46816" w:rsidRDefault="005E720B">
            <w:pPr>
              <w:pBdr>
                <w:top w:val="nil"/>
                <w:left w:val="nil"/>
                <w:bottom w:val="nil"/>
                <w:right w:val="nil"/>
                <w:between w:val="nil"/>
              </w:pBdr>
              <w:tabs>
                <w:tab w:val="left" w:pos="175"/>
                <w:tab w:val="left" w:pos="342"/>
              </w:tabs>
              <w:spacing w:after="120"/>
              <w:ind w:left="-18" w:hanging="714"/>
              <w:rPr>
                <w:rFonts w:ascii="Arial" w:eastAsia="Arial" w:hAnsi="Arial" w:cs="Arial"/>
                <w:color w:val="000000"/>
                <w:sz w:val="24"/>
                <w:szCs w:val="24"/>
              </w:rPr>
            </w:pPr>
            <w:r>
              <w:rPr>
                <w:rFonts w:ascii="Arial" w:eastAsia="Arial" w:hAnsi="Arial" w:cs="Arial"/>
                <w:color w:val="000000"/>
                <w:sz w:val="24"/>
                <w:szCs w:val="24"/>
              </w:rPr>
              <w:t>where any part of the Agency System is situated;</w:t>
            </w:r>
          </w:p>
        </w:tc>
      </w:tr>
      <w:tr w:rsidR="00D46816" w14:paraId="66FB9E89" w14:textId="77777777">
        <w:tc>
          <w:tcPr>
            <w:tcW w:w="2736" w:type="dxa"/>
            <w:shd w:val="clear" w:color="auto" w:fill="auto"/>
          </w:tcPr>
          <w:p w14:paraId="2DF66B37"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2" w:type="dxa"/>
            <w:shd w:val="clear" w:color="auto" w:fill="auto"/>
          </w:tcPr>
          <w:p w14:paraId="617BD733"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D46816" w14:paraId="1CF4486E" w14:textId="77777777">
        <w:tc>
          <w:tcPr>
            <w:tcW w:w="2736" w:type="dxa"/>
            <w:shd w:val="clear" w:color="auto" w:fill="auto"/>
          </w:tcPr>
          <w:p w14:paraId="5DFDD3E5"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"Quality Plans"</w:t>
            </w:r>
          </w:p>
        </w:tc>
        <w:tc>
          <w:tcPr>
            <w:tcW w:w="5462" w:type="dxa"/>
            <w:shd w:val="clear" w:color="auto" w:fill="auto"/>
          </w:tcPr>
          <w:p w14:paraId="6DB6E822"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D46816" w14:paraId="57B596F9" w14:textId="77777777">
        <w:tc>
          <w:tcPr>
            <w:tcW w:w="2736" w:type="dxa"/>
            <w:shd w:val="clear" w:color="auto" w:fill="auto"/>
          </w:tcPr>
          <w:p w14:paraId="628B62F9"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"Sites"</w:t>
            </w:r>
          </w:p>
        </w:tc>
        <w:tc>
          <w:tcPr>
            <w:tcW w:w="5462" w:type="dxa"/>
            <w:shd w:val="clear" w:color="auto" w:fill="auto"/>
          </w:tcPr>
          <w:p w14:paraId="1860E172"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Order Schedule shall also include any premises from, to or at which physical interface with the Client System takes place;</w:t>
            </w:r>
          </w:p>
        </w:tc>
      </w:tr>
      <w:tr w:rsidR="00D46816" w14:paraId="5836675C" w14:textId="77777777">
        <w:tc>
          <w:tcPr>
            <w:tcW w:w="2736" w:type="dxa"/>
            <w:shd w:val="clear" w:color="auto" w:fill="auto"/>
          </w:tcPr>
          <w:p w14:paraId="6C6DB003"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"Software"</w:t>
            </w:r>
          </w:p>
        </w:tc>
        <w:tc>
          <w:tcPr>
            <w:tcW w:w="5462" w:type="dxa"/>
            <w:shd w:val="clear" w:color="auto" w:fill="auto"/>
          </w:tcPr>
          <w:p w14:paraId="47064FF6"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D46816" w14:paraId="1A91CEEF" w14:textId="77777777">
        <w:tc>
          <w:tcPr>
            <w:tcW w:w="2736" w:type="dxa"/>
            <w:shd w:val="clear" w:color="auto" w:fill="auto"/>
          </w:tcPr>
          <w:p w14:paraId="3A2809D7"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2" w:type="dxa"/>
            <w:shd w:val="clear" w:color="auto" w:fill="auto"/>
          </w:tcPr>
          <w:p w14:paraId="2D0E59A5"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D46816" w14:paraId="23E2F18E" w14:textId="77777777">
        <w:tc>
          <w:tcPr>
            <w:tcW w:w="2736" w:type="dxa"/>
            <w:shd w:val="clear" w:color="auto" w:fill="auto"/>
          </w:tcPr>
          <w:p w14:paraId="66BC5EF2"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lastRenderedPageBreak/>
              <w:t>"Source Code"</w:t>
            </w:r>
          </w:p>
        </w:tc>
        <w:tc>
          <w:tcPr>
            <w:tcW w:w="5462" w:type="dxa"/>
            <w:shd w:val="clear" w:color="auto" w:fill="auto"/>
          </w:tcPr>
          <w:p w14:paraId="639345A0"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D46816" w14:paraId="42264E7D" w14:textId="77777777">
        <w:tc>
          <w:tcPr>
            <w:tcW w:w="2736" w:type="dxa"/>
            <w:shd w:val="clear" w:color="auto" w:fill="auto"/>
          </w:tcPr>
          <w:p w14:paraId="545993AD"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2" w:type="dxa"/>
            <w:shd w:val="clear" w:color="auto" w:fill="auto"/>
          </w:tcPr>
          <w:p w14:paraId="0B832B71" w14:textId="77777777" w:rsidR="00D46816" w:rsidRDefault="005E720B">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any software (including database software, linking instructions, test scripts, compilation instructions and test instructions) created by the Agency (or by a Sub-Contractor or other third party on behalf of the Agency) specifically for the purposes of this Contract, including any modifications or enhancements to COTS Software. For the avoidance of doubt Specially Written Software does not constitute New IPR;</w:t>
            </w:r>
          </w:p>
        </w:tc>
      </w:tr>
    </w:tbl>
    <w:p w14:paraId="529DF357" w14:textId="77777777" w:rsidR="00D46816" w:rsidRDefault="005E720B">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When this Schedule should be used</w:t>
      </w:r>
    </w:p>
    <w:p w14:paraId="108D39F5" w14:textId="77777777" w:rsidR="00D46816" w:rsidRDefault="005E720B">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b/>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Goods or Services.</w:t>
      </w:r>
    </w:p>
    <w:p w14:paraId="14F52E52" w14:textId="77777777" w:rsidR="00D46816" w:rsidRDefault="005E720B">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Client due diligence requirements </w:t>
      </w:r>
    </w:p>
    <w:p w14:paraId="1CFEA9C0" w14:textId="77777777" w:rsidR="00D46816" w:rsidRDefault="005E720B">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shall satisfy itself of all relevant details, including but not limited to, details relating to the following;</w:t>
      </w:r>
    </w:p>
    <w:p w14:paraId="70C2F9CC"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bookmarkStart w:id="2" w:name="_heading=h.49x2ik5" w:colFirst="0" w:colLast="0"/>
      <w:bookmarkEnd w:id="2"/>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02F5F928"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31641254"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Goods or Services of the Clients Assets; and</w:t>
      </w:r>
    </w:p>
    <w:p w14:paraId="671FED18"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Agency under this Contract and/or which the Agency will require the benefit of for the provision of the Goods or Services.</w:t>
      </w:r>
    </w:p>
    <w:p w14:paraId="4ED794A0" w14:textId="77777777" w:rsidR="00D46816" w:rsidRDefault="005E720B">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confirms that it has advised the Client in writing of:</w:t>
      </w:r>
    </w:p>
    <w:p w14:paraId="3F6D8EF9"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6912BFEB"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0F5995EE"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a timetable for and the costs of those actions.</w:t>
      </w:r>
    </w:p>
    <w:p w14:paraId="7AD99317" w14:textId="77777777" w:rsidR="00D46816" w:rsidRDefault="005E720B">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07ECCC13" w14:textId="77777777" w:rsidR="00D46816" w:rsidRDefault="005E720B">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heading=h.2p2csry" w:colFirst="0" w:colLast="0"/>
      <w:bookmarkEnd w:id="3"/>
      <w:r>
        <w:rPr>
          <w:rFonts w:ascii="Arial" w:eastAsia="Arial" w:hAnsi="Arial" w:cs="Arial"/>
          <w:color w:val="000000"/>
          <w:sz w:val="24"/>
          <w:szCs w:val="24"/>
        </w:rPr>
        <w:t>The Agency represents and warrants that:</w:t>
      </w:r>
    </w:p>
    <w:p w14:paraId="225DABFA" w14:textId="77777777" w:rsidR="00D46816" w:rsidRDefault="005E720B">
      <w:pPr>
        <w:numPr>
          <w:ilvl w:val="2"/>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Agency (and/or any Sub-Contractor) to the Client which are necessary for the performance of the Agency’s obligations under this Contract including the receipt of the Goods or Services by the Client;</w:t>
      </w:r>
    </w:p>
    <w:p w14:paraId="7E9B5CB3"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294038CA"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1FCF574E"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Order Schedule 14 (Service Levels) and Documentation; and</w:t>
      </w:r>
    </w:p>
    <w:p w14:paraId="70550E78" w14:textId="77777777" w:rsidR="00D46816" w:rsidRDefault="005E720B">
      <w:pPr>
        <w:numPr>
          <w:ilvl w:val="3"/>
          <w:numId w:val="2"/>
        </w:numPr>
        <w:pBdr>
          <w:top w:val="nil"/>
          <w:left w:val="nil"/>
          <w:bottom w:val="nil"/>
          <w:right w:val="nil"/>
          <w:between w:val="nil"/>
        </w:pBdr>
        <w:tabs>
          <w:tab w:val="left" w:pos="851"/>
        </w:tabs>
        <w:spacing w:after="240" w:line="240" w:lineRule="auto"/>
        <w:rPr>
          <w:rFonts w:ascii="Arial" w:eastAsia="Arial" w:hAnsi="Arial" w:cs="Arial"/>
          <w:color w:val="000000"/>
          <w:sz w:val="24"/>
          <w:szCs w:val="24"/>
        </w:rPr>
      </w:pPr>
      <w:r>
        <w:rPr>
          <w:rFonts w:ascii="Arial" w:eastAsia="Arial" w:hAnsi="Arial" w:cs="Arial"/>
          <w:color w:val="000000"/>
          <w:sz w:val="24"/>
          <w:szCs w:val="24"/>
        </w:rPr>
        <w:t>not infringe any IPR.</w:t>
      </w:r>
    </w:p>
    <w:p w14:paraId="0A190835" w14:textId="77777777" w:rsidR="00D46816" w:rsidRDefault="005E720B">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Provision of ICT Services</w:t>
      </w:r>
    </w:p>
    <w:p w14:paraId="7D5CA168" w14:textId="77777777" w:rsidR="00D46816" w:rsidRDefault="005E720B">
      <w:pPr>
        <w:numPr>
          <w:ilvl w:val="1"/>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Agency shall:</w:t>
      </w:r>
    </w:p>
    <w:p w14:paraId="65A90FE9" w14:textId="77777777" w:rsidR="00D46816" w:rsidRDefault="005E720B">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Agency  owns the IPR, or upgrade to any Software in which the Agency  owns the IPR complies with the interface requirements of the Client and (except in relation to new Software or upgrades which are released to address Malicious Software) shall notify the Client three (3) Months before the release of any new COTS Software or Upgrade;</w:t>
      </w:r>
    </w:p>
    <w:p w14:paraId="21D444AC" w14:textId="77777777" w:rsidR="00D46816" w:rsidRDefault="005E720B">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Agency are currently supported versions of that Software and perform in all material respects in accordance with the relevant specification;</w:t>
      </w:r>
    </w:p>
    <w:p w14:paraId="675B4AF5" w14:textId="77777777" w:rsidR="00D46816" w:rsidRDefault="005E720B">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Agency System will be free of all encumbrances;</w:t>
      </w:r>
    </w:p>
    <w:p w14:paraId="345775FE" w14:textId="77777777" w:rsidR="00D46816" w:rsidRDefault="005E720B">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Goods or Services are fully compatible with any Client Software, Client System, or otherwise used by the Agency in connection with this Contract;</w:t>
      </w:r>
    </w:p>
    <w:p w14:paraId="1A5654B6" w14:textId="77777777" w:rsidR="00D46816" w:rsidRDefault="005E720B">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Goods or Services;</w:t>
      </w:r>
    </w:p>
    <w:p w14:paraId="7CFC8FDF" w14:textId="77777777" w:rsidR="00D46816" w:rsidRDefault="005E720B">
      <w:pPr>
        <w:keepNext/>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Standards and Quality Requirements</w:t>
      </w:r>
    </w:p>
    <w:p w14:paraId="00286257" w14:textId="77777777" w:rsidR="00D46816" w:rsidRDefault="005E720B">
      <w:pPr>
        <w:numPr>
          <w:ilvl w:val="1"/>
          <w:numId w:val="2"/>
        </w:numPr>
        <w:pBdr>
          <w:top w:val="nil"/>
          <w:left w:val="nil"/>
          <w:bottom w:val="nil"/>
          <w:right w:val="nil"/>
          <w:between w:val="nil"/>
        </w:pBdr>
        <w:tabs>
          <w:tab w:val="left" w:pos="1134"/>
        </w:tabs>
        <w:spacing w:before="120" w:after="120" w:line="240" w:lineRule="auto"/>
        <w:rPr>
          <w:color w:val="000000"/>
          <w:sz w:val="24"/>
          <w:szCs w:val="24"/>
        </w:rPr>
      </w:pPr>
      <w:bookmarkStart w:id="4" w:name="_heading=h.147n2zr" w:colFirst="0" w:colLast="0"/>
      <w:bookmarkEnd w:id="4"/>
      <w:r>
        <w:rPr>
          <w:rFonts w:ascii="Arial" w:eastAsia="Arial" w:hAnsi="Arial" w:cs="Arial"/>
          <w:color w:val="000000"/>
          <w:sz w:val="24"/>
          <w:szCs w:val="24"/>
        </w:rPr>
        <w:t>The Agency shall develop, in the timescales specified in the Order Form, quality plans that ensure that all aspects of the Goods or Services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28514EB1" w14:textId="77777777" w:rsidR="00D46816" w:rsidRDefault="005E720B">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Agency shall seek Approval from the Client (not be unreasonably withheld or delayed) of the Quality Plans before implementing them. Approval shall not act as an endorsement of the Quality Plans and shall not relieve the Agency of its responsibility for ensuring that the Goods or Services are provided to the standard required by this Contract.</w:t>
      </w:r>
    </w:p>
    <w:p w14:paraId="5244A0C9" w14:textId="77777777" w:rsidR="00D46816" w:rsidRDefault="005E720B">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Following the approval of the Quality Plans, the Agency shall provide all Goods or Services in accordance with the Quality Plans.</w:t>
      </w:r>
    </w:p>
    <w:p w14:paraId="2DD927FF" w14:textId="77777777" w:rsidR="00D46816" w:rsidRDefault="005E720B">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ensure that the Agency Personnel shall at all times during the Order Contract Period:</w:t>
      </w:r>
    </w:p>
    <w:p w14:paraId="7EE02777" w14:textId="77777777" w:rsidR="00D46816" w:rsidRDefault="005E720B">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Goods or Services in accordance with this Contract;</w:t>
      </w:r>
    </w:p>
    <w:p w14:paraId="78570B85" w14:textId="77777777" w:rsidR="00D46816" w:rsidRDefault="005E720B">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Goods or Services; and</w:t>
      </w:r>
    </w:p>
    <w:p w14:paraId="3E61E0EE" w14:textId="77777777" w:rsidR="00D46816" w:rsidRDefault="005E720B">
      <w:pPr>
        <w:numPr>
          <w:ilvl w:val="2"/>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Client (including, if so required by the Client, the ICT Policy) and provide the Goods or Services to the reasonable satisfaction of the Client.</w:t>
      </w:r>
    </w:p>
    <w:p w14:paraId="4BFEEECA" w14:textId="77777777" w:rsidR="00D46816" w:rsidRDefault="005E720B">
      <w:pPr>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    ICT Audit</w:t>
      </w:r>
    </w:p>
    <w:p w14:paraId="0E1B9D8B" w14:textId="77777777" w:rsidR="00D46816" w:rsidRDefault="005E720B">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shall allow any auditor access to the Agency  premises to:</w:t>
      </w:r>
    </w:p>
    <w:p w14:paraId="54778F06"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09B6B57F"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Agency System and pre-operational environment such as information relating to Testing;</w:t>
      </w:r>
    </w:p>
    <w:p w14:paraId="415D7439"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review the Agency ’s quality management systems including all relevant Quality Plans.</w:t>
      </w:r>
    </w:p>
    <w:p w14:paraId="39407331" w14:textId="77777777" w:rsidR="00D46816" w:rsidRDefault="005E720B">
      <w:pPr>
        <w:keepNext/>
        <w:numPr>
          <w:ilvl w:val="0"/>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788FF963" w14:textId="77777777" w:rsidR="00D46816" w:rsidRDefault="005E720B">
      <w:pPr>
        <w:numPr>
          <w:ilvl w:val="1"/>
          <w:numId w:val="2"/>
        </w:numPr>
        <w:pBdr>
          <w:top w:val="nil"/>
          <w:left w:val="nil"/>
          <w:bottom w:val="nil"/>
          <w:right w:val="nil"/>
          <w:between w:val="nil"/>
        </w:pBdr>
        <w:tabs>
          <w:tab w:val="left" w:pos="1985"/>
          <w:tab w:val="left" w:pos="2127"/>
        </w:tabs>
        <w:spacing w:before="120" w:after="120" w:line="240" w:lineRule="auto"/>
        <w:ind w:left="578" w:hanging="578"/>
        <w:rPr>
          <w:color w:val="000000"/>
          <w:sz w:val="24"/>
          <w:szCs w:val="24"/>
        </w:rPr>
      </w:pPr>
      <w:r>
        <w:rPr>
          <w:rFonts w:ascii="Arial" w:eastAsia="Arial" w:hAnsi="Arial" w:cs="Arial"/>
          <w:color w:val="000000"/>
          <w:sz w:val="24"/>
          <w:szCs w:val="24"/>
        </w:rPr>
        <w:t>If specified by the Client in the Order Form, the Agency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Client for Approval in accordance with the timetable and instructions specified by the Client.</w:t>
      </w:r>
    </w:p>
    <w:p w14:paraId="465F3BF5" w14:textId="77777777" w:rsidR="00D46816" w:rsidRDefault="005E720B">
      <w:pPr>
        <w:numPr>
          <w:ilvl w:val="1"/>
          <w:numId w:val="2"/>
        </w:numPr>
        <w:pBdr>
          <w:top w:val="nil"/>
          <w:left w:val="nil"/>
          <w:bottom w:val="nil"/>
          <w:right w:val="nil"/>
          <w:between w:val="nil"/>
        </w:pBdr>
        <w:tabs>
          <w:tab w:val="left" w:pos="1985"/>
          <w:tab w:val="left" w:pos="2127"/>
        </w:tabs>
        <w:spacing w:before="120" w:after="120" w:line="240" w:lineRule="auto"/>
        <w:ind w:left="578" w:hanging="578"/>
        <w:rPr>
          <w:color w:val="000000"/>
          <w:sz w:val="24"/>
          <w:szCs w:val="24"/>
        </w:rPr>
      </w:pPr>
      <w:r>
        <w:rPr>
          <w:rFonts w:ascii="Arial" w:eastAsia="Arial" w:hAnsi="Arial" w:cs="Arial"/>
          <w:color w:val="000000"/>
          <w:sz w:val="24"/>
          <w:szCs w:val="24"/>
        </w:rPr>
        <w:t>Once the Maintenance Schedule has been Approved, the Agency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4E8BFC8C" w14:textId="77777777" w:rsidR="00D46816" w:rsidRDefault="005E720B">
      <w:pPr>
        <w:numPr>
          <w:ilvl w:val="1"/>
          <w:numId w:val="2"/>
        </w:numPr>
        <w:pBdr>
          <w:top w:val="nil"/>
          <w:left w:val="nil"/>
          <w:bottom w:val="nil"/>
          <w:right w:val="nil"/>
          <w:between w:val="nil"/>
        </w:pBdr>
        <w:tabs>
          <w:tab w:val="left" w:pos="1985"/>
          <w:tab w:val="left" w:pos="2127"/>
        </w:tabs>
        <w:spacing w:before="120" w:after="120" w:line="240" w:lineRule="auto"/>
        <w:ind w:left="578" w:hanging="578"/>
        <w:rPr>
          <w:rFonts w:ascii="Arial" w:eastAsia="Arial" w:hAnsi="Arial" w:cs="Arial"/>
          <w:color w:val="000000"/>
          <w:sz w:val="24"/>
          <w:szCs w:val="24"/>
        </w:rPr>
      </w:pPr>
      <w:r>
        <w:rPr>
          <w:rFonts w:ascii="Arial" w:eastAsia="Arial" w:hAnsi="Arial" w:cs="Arial"/>
          <w:color w:val="000000"/>
          <w:sz w:val="24"/>
          <w:szCs w:val="24"/>
        </w:rPr>
        <w:t>The Agency shall give as much notice as is reasonably practicable to the Client prior to carrying out any Emergency Maintenance.</w:t>
      </w:r>
    </w:p>
    <w:p w14:paraId="6B6458D4" w14:textId="77777777" w:rsidR="00D46816" w:rsidRDefault="005E720B">
      <w:pPr>
        <w:numPr>
          <w:ilvl w:val="1"/>
          <w:numId w:val="2"/>
        </w:numPr>
        <w:pBdr>
          <w:top w:val="nil"/>
          <w:left w:val="nil"/>
          <w:bottom w:val="nil"/>
          <w:right w:val="nil"/>
          <w:between w:val="nil"/>
        </w:pBdr>
        <w:tabs>
          <w:tab w:val="left" w:pos="1985"/>
          <w:tab w:val="left" w:pos="2127"/>
        </w:tabs>
        <w:spacing w:before="120" w:after="120" w:line="240" w:lineRule="auto"/>
        <w:ind w:left="578" w:hanging="578"/>
        <w:rPr>
          <w:rFonts w:ascii="Arial" w:eastAsia="Arial" w:hAnsi="Arial" w:cs="Arial"/>
          <w:color w:val="000000"/>
          <w:sz w:val="24"/>
          <w:szCs w:val="24"/>
        </w:rPr>
      </w:pPr>
      <w:r>
        <w:rPr>
          <w:rFonts w:ascii="Arial" w:eastAsia="Arial" w:hAnsi="Arial" w:cs="Arial"/>
          <w:color w:val="000000"/>
          <w:sz w:val="24"/>
          <w:szCs w:val="24"/>
        </w:rPr>
        <w:t>The Agency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Goods or Services.</w:t>
      </w:r>
    </w:p>
    <w:p w14:paraId="03B0B248" w14:textId="77777777" w:rsidR="00D46816" w:rsidRDefault="005E720B">
      <w:pPr>
        <w:keepNext/>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Intellectual Property Rights in ICT</w:t>
      </w:r>
    </w:p>
    <w:p w14:paraId="2CB431F9" w14:textId="77777777" w:rsidR="00D46816" w:rsidRDefault="005E720B">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Assignments granted by the Agency: Specially Written Software </w:t>
      </w:r>
    </w:p>
    <w:p w14:paraId="17EDF1AE"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assigns (by present assignment of future rights to take effect immediately on it coming into existence) to the Client with full guarantee (or shall procure assignment to the Client), title to and all rights and interest in the Specially Written Software together with and including:</w:t>
      </w:r>
    </w:p>
    <w:p w14:paraId="1E5D59FC"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Documentation, Source Code and the Object Code of the Specially Written Software; and</w:t>
      </w:r>
    </w:p>
    <w:p w14:paraId="7E51CDBE" w14:textId="77777777" w:rsidR="00D46816" w:rsidRDefault="005E720B">
      <w:pPr>
        <w:numPr>
          <w:ilvl w:val="3"/>
          <w:numId w:val="2"/>
        </w:numPr>
        <w:pBdr>
          <w:top w:val="nil"/>
          <w:left w:val="nil"/>
          <w:bottom w:val="nil"/>
          <w:right w:val="nil"/>
          <w:between w:val="nil"/>
        </w:pBdr>
        <w:spacing w:before="120" w:after="120" w:line="240" w:lineRule="auto"/>
        <w:rPr>
          <w:color w:val="000000"/>
          <w:sz w:val="24"/>
          <w:szCs w:val="24"/>
        </w:rPr>
      </w:pPr>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234EF0E1"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w:t>
      </w:r>
    </w:p>
    <w:p w14:paraId="267BAF26"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inform the Client of all Specially Written Software or New IPRs that are a modification, customisation, configuration or enhancement to any COTS Software; </w:t>
      </w:r>
    </w:p>
    <w:p w14:paraId="71FAFC40"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deliver to the Client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Client and the Client shall become the owner of such media upon receipt; and</w:t>
      </w:r>
    </w:p>
    <w:p w14:paraId="44AC0CF9"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Client of any of the Agency’s Existing IPRs or Third Party IPRs which are embedded or which are an integral part of the Specially Written Software or New IPR and the Agency hereby grants to the Client and shall procure that any relevant third party licensor shall grant to the Client a perpetual, irrevocable, non-exclusive, assignable, royalty-free licence to use, sub-license and/or commercially exploit such Agency’s Existing IPRs and Third Party IPRs to the extent that it is necessary to enable the Client to obtain the full benefits of ownership of the Specially Written Software and New IPRs.</w:t>
      </w:r>
    </w:p>
    <w:p w14:paraId="177A91B0"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promptly execute all such assignments as are required to ensure that any rights in the Specially Written Software and New IPRs are properly transferred to the Client.</w:t>
      </w:r>
    </w:p>
    <w:p w14:paraId="5433CF9F" w14:textId="77777777" w:rsidR="00D46816" w:rsidRDefault="005E720B">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Licences for non-COTS IPR from the Agency and third parties to the Buyer</w:t>
      </w:r>
    </w:p>
    <w:p w14:paraId="62B0F9ED"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the Client gives its Approval the Agency must not use any:</w:t>
      </w:r>
    </w:p>
    <w:p w14:paraId="3A70D9E8" w14:textId="77777777" w:rsidR="00D46816" w:rsidRDefault="005E720B">
      <w:pPr>
        <w:numPr>
          <w:ilvl w:val="0"/>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166466D6" w14:textId="77777777" w:rsidR="00D46816" w:rsidRDefault="005E720B">
      <w:pPr>
        <w:numPr>
          <w:ilvl w:val="0"/>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24C9D325"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Where the Client Approves the use of the Agency’s Existing IPR that is not COTS Software the Agency shall grants to the Client a perpetual, royalty-free and non-exclusive licence to use adapt, and sub-license the same for any purpose relating to the Goods or Services (or substantially equivalent deliverables) or for any purpose relating to the exercise of the Buyer’s (or, if the Client is a Central Government Body, any other Central Government Body’s) business or function including  the right to load, execute, store, transmit, display and copy (for the purposes of archiving, backing-up, loading, execution, storage, transmission or display) for the Order Contract Period and after expiry of the Contract to the extent necessary to ensure continuity of service and an effective transition of Services to a Replacement Agency.</w:t>
      </w:r>
    </w:p>
    <w:p w14:paraId="6DB5FD24"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the Client Approves the use of third party Software that is not COTS Software the Agency shall procure that the owners or the authorised licensors of any such Software grant a direct licence to the Client on terms at least equivalent to those set out in Paragraph 9.2.2. If the Agency cannot obtain such a licence for the Client it shall:</w:t>
      </w:r>
    </w:p>
    <w:p w14:paraId="79BD51F3"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the Client in writing giving details of what licence terms can be obtained and whether there are alternative software providers which the Agency could seek to use; and</w:t>
      </w:r>
    </w:p>
    <w:p w14:paraId="6EFDCB7D"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Client Approves the terms of the licence from the relevant third party.</w:t>
      </w:r>
    </w:p>
    <w:p w14:paraId="19747020"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Where the Agency is unable to provide a license to the Agency’s Existing IPR in accordance with Paragraph 9.2.2 above, it must meet the requirement by making use of COTS Software or Specially Written Software.  </w:t>
      </w:r>
    </w:p>
    <w:p w14:paraId="22FE3CE4"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Agency may terminate a licence granted under paragraph 9.2.1 by giving at least thirty (30) days’ notice in writing if there is an Authority Cause which constitutes a material Default which, if capable of remedy, is not remedied within twenty (20) Working Days after the Agency gives the Client written notice specifying the breach and requiring its remedy.</w:t>
      </w:r>
    </w:p>
    <w:p w14:paraId="0E72B253" w14:textId="77777777" w:rsidR="00D46816" w:rsidRDefault="005E720B">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Licenses for COTS Software by the Agency and third parties to the Buyer</w:t>
      </w:r>
    </w:p>
    <w:p w14:paraId="612FD62B"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Agency shall either grant, or procure that the owners or the authorised licensors of any COTS Software grant, a direct licence to the Client on terms no less favourable than those standard commercial terms on which such software is usually made commercially available.</w:t>
      </w:r>
    </w:p>
    <w:p w14:paraId="03381C6C"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Where the Agency owns the COTS Software it shall make available the COTS software to a Replacement Agency at a price and on terms no </w:t>
      </w:r>
      <w:r>
        <w:rPr>
          <w:rFonts w:ascii="Arial" w:eastAsia="Arial" w:hAnsi="Arial" w:cs="Arial"/>
          <w:color w:val="000000"/>
          <w:sz w:val="24"/>
          <w:szCs w:val="24"/>
        </w:rPr>
        <w:lastRenderedPageBreak/>
        <w:t>less favourable than those standard commercial terms on which such software is usually made commercially available.</w:t>
      </w:r>
    </w:p>
    <w:p w14:paraId="1AA704D2"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a third party is the owner of COTS Software licensed in accordance with this Paragraph 9.3 the Agency shall support the Replacement Agency to make arrangements with the owner or authorised licencee to renew the license at a price and on terms no less favourable than those standard commercial terms on which such software is usually made commercially available.</w:t>
      </w:r>
    </w:p>
    <w:p w14:paraId="1470BEDE" w14:textId="77777777" w:rsidR="00D46816" w:rsidRDefault="005E720B">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Agency shall notify the Client within seven (7) days of becoming aware of any COTS Software which in the next thirty-six (36) months:</w:t>
      </w:r>
    </w:p>
    <w:p w14:paraId="4456F535"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5709D2AF"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2EE47B03" w14:textId="77777777" w:rsidR="00D46816" w:rsidRDefault="005E720B">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b/>
          <w:color w:val="000000"/>
          <w:sz w:val="24"/>
          <w:szCs w:val="24"/>
        </w:rPr>
      </w:pPr>
      <w:r>
        <w:rPr>
          <w:rFonts w:ascii="Arial" w:eastAsia="Arial" w:hAnsi="Arial" w:cs="Arial"/>
          <w:b/>
          <w:sz w:val="24"/>
          <w:szCs w:val="24"/>
        </w:rPr>
        <w:t>Client's</w:t>
      </w:r>
      <w:r>
        <w:rPr>
          <w:rFonts w:ascii="Arial" w:eastAsia="Arial" w:hAnsi="Arial" w:cs="Arial"/>
          <w:b/>
          <w:color w:val="000000"/>
          <w:sz w:val="24"/>
          <w:szCs w:val="24"/>
        </w:rPr>
        <w:t xml:space="preserve"> right to assign/novate licences</w:t>
      </w:r>
    </w:p>
    <w:p w14:paraId="0E4FEA19"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Client may assign, novate or otherwise transfer its rights and obligations under the licences granted pursuant to paragraph 9.2 (to:</w:t>
      </w:r>
    </w:p>
    <w:p w14:paraId="2AD489EA"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Central Government Body; or</w:t>
      </w:r>
    </w:p>
    <w:p w14:paraId="36BB9EC4"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functions and/or activities that previously had been performed and/or carried on by the Buyer.</w:t>
      </w:r>
    </w:p>
    <w:p w14:paraId="56C686FD"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Client ceases to be a Central Government Body, the successor body to the Client shall still be entitled to the benefit of the licences granted in paragraph 9.2.</w:t>
      </w:r>
    </w:p>
    <w:p w14:paraId="1935842F" w14:textId="77777777" w:rsidR="00D46816" w:rsidRDefault="005E720B">
      <w:pPr>
        <w:numPr>
          <w:ilvl w:val="1"/>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Licence granted by the Buyer</w:t>
      </w:r>
    </w:p>
    <w:p w14:paraId="351CC49C"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Client grants to the Agency a royalty-free, non-exclusive, non-transferable licence during the Contract Period to use the Client Software and the Specially Written Software solely to the extent necessary for providing the Goods or Services in accordance with this Contract, including the right to grant sub-licences to Sub-Contractors provided that any relevant Sub-Contractor has entered into a confidentiality undertaking with the Agency on the same terms as set out in Clause 15 (Confidentiality).</w:t>
      </w:r>
    </w:p>
    <w:p w14:paraId="2BAF5DBB" w14:textId="77777777" w:rsidR="00D46816" w:rsidRDefault="005E720B">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Open Source Publication</w:t>
      </w:r>
    </w:p>
    <w:p w14:paraId="01AB863C"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the Client otherwise agrees in advance in writing (and subject to paragraph 9.6.3) all Specially Written Software and computer program elements of New IPR shall be created in a format, or able to be converted (in which case the Agency shall also provide the converted format to the Buyer) into a format, which is:</w:t>
      </w:r>
    </w:p>
    <w:p w14:paraId="2C496139"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suitable for publication by the Client as Open Source; and </w:t>
      </w:r>
    </w:p>
    <w:p w14:paraId="16238EBF"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6D27E0FE" w14:textId="77777777" w:rsidR="00D46816" w:rsidRDefault="005E720B">
      <w:pPr>
        <w:ind w:left="936" w:firstLine="720"/>
        <w:rPr>
          <w:rFonts w:ascii="Arial" w:eastAsia="Arial" w:hAnsi="Arial" w:cs="Arial"/>
          <w:sz w:val="24"/>
          <w:szCs w:val="24"/>
        </w:rPr>
      </w:pPr>
      <w:r>
        <w:rPr>
          <w:rFonts w:ascii="Arial" w:eastAsia="Arial" w:hAnsi="Arial" w:cs="Arial"/>
          <w:sz w:val="24"/>
          <w:szCs w:val="24"/>
        </w:rPr>
        <w:t>and the Client may, at its sole discretion, publish the same as Open Source.</w:t>
      </w:r>
    </w:p>
    <w:p w14:paraId="2DEF658A"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Agency hereby warrants that the Specially Written Software and the New IPR:</w:t>
      </w:r>
    </w:p>
    <w:p w14:paraId="54171CF3" w14:textId="77777777" w:rsidR="00D46816" w:rsidRDefault="005E720B">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Agency has used reasonable endeavours when developing the same to ensure that publication by the Client will not enable a third party to use them in any way which could reasonably be foreseen to compromise the operation, running or security of the Specially Written Software, New IPRs or the Client System;</w:t>
      </w:r>
    </w:p>
    <w:p w14:paraId="15BE6A80" w14:textId="77777777" w:rsidR="00D46816" w:rsidRDefault="005E720B">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Client shall not cause any harm or damage to any party using them;</w:t>
      </w:r>
    </w:p>
    <w:p w14:paraId="45086A45" w14:textId="77777777" w:rsidR="00D46816" w:rsidRDefault="005E720B">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do not contain any material which would bring the Client into disrepute;</w:t>
      </w:r>
    </w:p>
    <w:p w14:paraId="6EE1B4A0" w14:textId="77777777" w:rsidR="00D46816" w:rsidRDefault="005E720B">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63DB5CFA" w14:textId="77777777" w:rsidR="00D46816" w:rsidRDefault="005E720B">
      <w:pPr>
        <w:numPr>
          <w:ilvl w:val="3"/>
          <w:numId w:val="2"/>
        </w:numPr>
        <w:pBdr>
          <w:top w:val="nil"/>
          <w:left w:val="nil"/>
          <w:bottom w:val="nil"/>
          <w:right w:val="nil"/>
          <w:between w:val="nil"/>
        </w:pBdr>
        <w:spacing w:after="220" w:line="240" w:lineRule="auto"/>
        <w:rPr>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Client to the Agency; and</w:t>
      </w:r>
    </w:p>
    <w:p w14:paraId="718AD096" w14:textId="77777777" w:rsidR="00D46816" w:rsidRDefault="005E720B">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75710EAA"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Where the Client has Approved a request by the Agency for any part of the Specially Written Software or New IPRs to be excluded from the requirement to be in an Open Source format due to the intention to embed or integrate Agency Existing IPRs and/or Third Party IPRs (and where the Parties agree that such IPRs are not intended to be published as Open Source), the Agency shall:</w:t>
      </w:r>
    </w:p>
    <w:p w14:paraId="0D4C797C" w14:textId="77777777" w:rsidR="00D46816" w:rsidRDefault="005E720B">
      <w:pPr>
        <w:numPr>
          <w:ilvl w:val="3"/>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practicable, provide written details of the nature of the IPRs and items or Goods or Services based on IPRs which are to be excluded from Open Source publication; and </w:t>
      </w:r>
    </w:p>
    <w:p w14:paraId="49DD48E9" w14:textId="77777777" w:rsidR="00D46816" w:rsidRDefault="005E720B">
      <w:pPr>
        <w:numPr>
          <w:ilvl w:val="3"/>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Goods or Services based on such IPRs, will have on any other Specially Written Software and/or New IPRs and the Buyer’s ability to publish such other items or Goods or Services as Open Source.</w:t>
      </w:r>
    </w:p>
    <w:p w14:paraId="4942FBB2" w14:textId="77777777" w:rsidR="00D46816" w:rsidRDefault="005E720B">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Malicious Software</w:t>
      </w:r>
    </w:p>
    <w:p w14:paraId="29BEA878"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throughout the Contract Period, use the latest versions of anti-virus definitions and software available from an industry accepted anti-virus software vendor to check for, contain the spread of, and minimise the impact of Malicious Software.</w:t>
      </w:r>
    </w:p>
    <w:p w14:paraId="1251BE0A"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Goods or Services to its desired operating efficiency.</w:t>
      </w:r>
    </w:p>
    <w:p w14:paraId="64F4532F" w14:textId="77777777" w:rsidR="00D46816" w:rsidRDefault="005E720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0C280BD8"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by the Agency, where the Malicious Software originates from the Agency Software, the third party Software supplied by the Agency or the Government Data (whilst the Government Data was under the control of the Agency) unless the Agency can demonstrate that such Malicious Software was present and not quarantined or otherwise identified by the Client when provided to the Agency; and</w:t>
      </w:r>
    </w:p>
    <w:p w14:paraId="775B01CE" w14:textId="77777777" w:rsidR="00D46816" w:rsidRDefault="005E720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by the Client, if the Malicious Software originates from the Client Software or the Client Data (whilst the Client Data was under the control of the Buyer).</w:t>
      </w:r>
    </w:p>
    <w:p w14:paraId="79613FB5" w14:textId="77777777" w:rsidR="00D46816" w:rsidRDefault="00D46816">
      <w:pPr>
        <w:rPr>
          <w:rFonts w:ascii="Arial" w:eastAsia="Arial" w:hAnsi="Arial" w:cs="Arial"/>
          <w:sz w:val="24"/>
          <w:szCs w:val="24"/>
        </w:rPr>
      </w:pPr>
    </w:p>
    <w:p w14:paraId="22D5F6F8" w14:textId="5CC4C735" w:rsidR="00D46816" w:rsidRPr="00973278" w:rsidRDefault="005E720B">
      <w:pPr>
        <w:keepNext/>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sidRPr="00973278">
        <w:rPr>
          <w:rFonts w:ascii="Arial" w:eastAsia="Arial" w:hAnsi="Arial" w:cs="Arial"/>
          <w:b/>
          <w:color w:val="000000"/>
          <w:sz w:val="24"/>
          <w:szCs w:val="24"/>
        </w:rPr>
        <w:tab/>
        <w:t>Agency Furnished Terms</w:t>
      </w:r>
    </w:p>
    <w:p w14:paraId="1463AF0D" w14:textId="581EA539" w:rsidR="00D46816" w:rsidRPr="00973278" w:rsidRDefault="00973278" w:rsidP="00973278">
      <w:pPr>
        <w:keepNext/>
        <w:keepLines/>
        <w:pBdr>
          <w:top w:val="nil"/>
          <w:left w:val="nil"/>
          <w:bottom w:val="nil"/>
          <w:right w:val="nil"/>
          <w:between w:val="nil"/>
        </w:pBdr>
        <w:tabs>
          <w:tab w:val="left" w:pos="1134"/>
        </w:tabs>
        <w:spacing w:before="120" w:after="120" w:line="240" w:lineRule="auto"/>
        <w:ind w:left="567"/>
        <w:rPr>
          <w:b/>
          <w:sz w:val="24"/>
          <w:szCs w:val="24"/>
        </w:rPr>
      </w:pPr>
      <w:bookmarkStart w:id="5" w:name="_heading=h.gjdgxs" w:colFirst="0" w:colLast="0"/>
      <w:bookmarkEnd w:id="5"/>
      <w:r w:rsidRPr="00973278">
        <w:rPr>
          <w:rFonts w:ascii="Arial" w:eastAsia="Arial" w:hAnsi="Arial" w:cs="Arial"/>
          <w:color w:val="000000"/>
          <w:sz w:val="24"/>
          <w:szCs w:val="24"/>
        </w:rPr>
        <w:tab/>
      </w:r>
      <w:r w:rsidRPr="00973278">
        <w:rPr>
          <w:rFonts w:ascii="Arial" w:eastAsia="Arial" w:hAnsi="Arial" w:cs="Arial"/>
          <w:b/>
          <w:color w:val="000000"/>
          <w:sz w:val="24"/>
          <w:szCs w:val="24"/>
        </w:rPr>
        <w:t>Not applicable</w:t>
      </w:r>
    </w:p>
    <w:sectPr w:rsidR="00D46816" w:rsidRPr="00973278">
      <w:headerReference w:type="default" r:id="rId12"/>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CD5AA" w14:textId="77777777" w:rsidR="00580CD4" w:rsidRDefault="00580CD4">
      <w:pPr>
        <w:spacing w:after="0" w:line="240" w:lineRule="auto"/>
      </w:pPr>
      <w:r>
        <w:separator/>
      </w:r>
    </w:p>
  </w:endnote>
  <w:endnote w:type="continuationSeparator" w:id="0">
    <w:p w14:paraId="00F47E5C" w14:textId="77777777" w:rsidR="00580CD4" w:rsidRDefault="00580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B77F8" w14:textId="77777777" w:rsidR="00D46816" w:rsidRDefault="00D46816">
    <w:pPr>
      <w:tabs>
        <w:tab w:val="center" w:pos="4513"/>
        <w:tab w:val="right" w:pos="9026"/>
      </w:tabs>
      <w:spacing w:after="0" w:line="276" w:lineRule="auto"/>
      <w:jc w:val="both"/>
      <w:rPr>
        <w:color w:val="BFBFBF"/>
      </w:rPr>
    </w:pPr>
  </w:p>
  <w:p w14:paraId="41C633FE" w14:textId="77777777" w:rsidR="00D46816" w:rsidRDefault="005E720B">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6BC57B60" w14:textId="77777777" w:rsidR="00D46816" w:rsidRDefault="005E720B">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13925" w14:textId="77777777" w:rsidR="00580CD4" w:rsidRDefault="00580CD4">
      <w:pPr>
        <w:spacing w:after="0" w:line="240" w:lineRule="auto"/>
      </w:pPr>
      <w:r>
        <w:separator/>
      </w:r>
    </w:p>
  </w:footnote>
  <w:footnote w:type="continuationSeparator" w:id="0">
    <w:p w14:paraId="2E27BDFF" w14:textId="77777777" w:rsidR="00580CD4" w:rsidRDefault="00580C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DB46A" w14:textId="77777777" w:rsidR="00D46816" w:rsidRDefault="005E720B">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6 (ICT Services)</w:t>
    </w:r>
  </w:p>
  <w:p w14:paraId="285F3780" w14:textId="77777777" w:rsidR="00D46816" w:rsidRDefault="005E720B">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A4A91"/>
    <w:multiLevelType w:val="multilevel"/>
    <w:tmpl w:val="BFA242F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pStyle w:val="Sch1styleclause"/>
      <w:lvlText w:val="%1.%2.%3."/>
      <w:lvlJc w:val="left"/>
      <w:pPr>
        <w:ind w:left="1656" w:hanging="720"/>
      </w:pPr>
    </w:lvl>
    <w:lvl w:ilvl="3">
      <w:start w:val="1"/>
      <w:numFmt w:val="decimal"/>
      <w:pStyle w:val="Sch1stylesubclause"/>
      <w:lvlText w:val="%1.%2.%3.%4."/>
      <w:lvlJc w:val="left"/>
      <w:pPr>
        <w:ind w:left="2592" w:hanging="936"/>
      </w:pPr>
      <w:rPr>
        <w:b w:val="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529059C"/>
    <w:multiLevelType w:val="multilevel"/>
    <w:tmpl w:val="AD7C075A"/>
    <w:lvl w:ilvl="0">
      <w:start w:val="1"/>
      <w:numFmt w:val="lowerLetter"/>
      <w:pStyle w:val="MOJStyle0"/>
      <w:lvlText w:val="%1)"/>
      <w:lvlJc w:val="left"/>
      <w:pPr>
        <w:ind w:left="2346" w:hanging="360"/>
      </w:pPr>
    </w:lvl>
    <w:lvl w:ilvl="1">
      <w:start w:val="1"/>
      <w:numFmt w:val="lowerLetter"/>
      <w:pStyle w:val="MOJLevel1"/>
      <w:lvlText w:val="%2."/>
      <w:lvlJc w:val="left"/>
      <w:pPr>
        <w:ind w:left="3066" w:hanging="360"/>
      </w:pPr>
    </w:lvl>
    <w:lvl w:ilvl="2">
      <w:start w:val="1"/>
      <w:numFmt w:val="lowerRoman"/>
      <w:pStyle w:val="MOJLevel2"/>
      <w:lvlText w:val="%3."/>
      <w:lvlJc w:val="right"/>
      <w:pPr>
        <w:ind w:left="3786" w:hanging="180"/>
      </w:pPr>
    </w:lvl>
    <w:lvl w:ilvl="3">
      <w:start w:val="1"/>
      <w:numFmt w:val="decimal"/>
      <w:pStyle w:val="MOJLevel3"/>
      <w:lvlText w:val="%4."/>
      <w:lvlJc w:val="left"/>
      <w:pPr>
        <w:ind w:left="4506" w:hanging="360"/>
      </w:pPr>
    </w:lvl>
    <w:lvl w:ilvl="4">
      <w:start w:val="1"/>
      <w:numFmt w:val="lowerLetter"/>
      <w:pStyle w:val="MOJLevel4"/>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816"/>
    <w:rsid w:val="004B035B"/>
    <w:rsid w:val="00580CD4"/>
    <w:rsid w:val="005E720B"/>
    <w:rsid w:val="00741416"/>
    <w:rsid w:val="00973278"/>
    <w:rsid w:val="00D468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1FDD0"/>
  <w15:docId w15:val="{D79FD04C-D28F-49D3-AE41-9267313E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506"/>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OJStyle0">
    <w:name w:val="MOJ Style0"/>
    <w:basedOn w:val="Normal"/>
    <w:autoRedefine/>
    <w:uiPriority w:val="99"/>
    <w:rsid w:val="00187506"/>
    <w:pPr>
      <w:numPr>
        <w:numId w:val="1"/>
      </w:numPr>
      <w:suppressAutoHyphens/>
      <w:overflowPunct w:val="0"/>
      <w:autoSpaceDE w:val="0"/>
      <w:autoSpaceDN w:val="0"/>
      <w:adjustRightInd w:val="0"/>
      <w:spacing w:after="0" w:line="360" w:lineRule="auto"/>
      <w:jc w:val="both"/>
      <w:textAlignment w:val="baseline"/>
    </w:pPr>
    <w:rPr>
      <w:rFonts w:ascii="Arial" w:eastAsia="MS Mincho" w:hAnsi="Arial" w:cs="Arial"/>
      <w:b/>
      <w:lang w:eastAsia="ja-JP"/>
    </w:rPr>
  </w:style>
  <w:style w:type="paragraph" w:customStyle="1" w:styleId="MOJLevel1">
    <w:name w:val="MOJ Level 1"/>
    <w:basedOn w:val="Normal"/>
    <w:next w:val="MOJLevel2"/>
    <w:autoRedefine/>
    <w:uiPriority w:val="99"/>
    <w:rsid w:val="00187506"/>
    <w:pPr>
      <w:numPr>
        <w:ilvl w:val="1"/>
        <w:numId w:val="1"/>
      </w:numPr>
      <w:suppressAutoHyphens/>
      <w:overflowPunct w:val="0"/>
      <w:autoSpaceDE w:val="0"/>
      <w:autoSpaceDN w:val="0"/>
      <w:adjustRightInd w:val="0"/>
      <w:spacing w:before="240" w:after="0" w:line="360" w:lineRule="auto"/>
      <w:jc w:val="both"/>
      <w:textAlignment w:val="baseline"/>
    </w:pPr>
    <w:rPr>
      <w:rFonts w:ascii="Arial" w:eastAsia="MS Mincho" w:hAnsi="Arial" w:cs="Arial"/>
      <w:b/>
      <w:lang w:eastAsia="ja-JP"/>
    </w:rPr>
  </w:style>
  <w:style w:type="paragraph" w:customStyle="1" w:styleId="MOJLevel2">
    <w:name w:val="MOJ Level 2"/>
    <w:basedOn w:val="Normal"/>
    <w:autoRedefine/>
    <w:uiPriority w:val="99"/>
    <w:rsid w:val="00187506"/>
    <w:pPr>
      <w:numPr>
        <w:ilvl w:val="2"/>
        <w:numId w:val="1"/>
      </w:numPr>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3">
    <w:name w:val="MOJ Level 3"/>
    <w:basedOn w:val="Normal"/>
    <w:autoRedefine/>
    <w:uiPriority w:val="99"/>
    <w:rsid w:val="00187506"/>
    <w:pPr>
      <w:numPr>
        <w:ilvl w:val="3"/>
        <w:numId w:val="1"/>
      </w:numPr>
      <w:tabs>
        <w:tab w:val="num" w:pos="1620"/>
      </w:tabs>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4">
    <w:name w:val="MOJ Level 4"/>
    <w:basedOn w:val="Normal"/>
    <w:autoRedefine/>
    <w:uiPriority w:val="99"/>
    <w:rsid w:val="00187506"/>
    <w:pPr>
      <w:numPr>
        <w:ilvl w:val="4"/>
        <w:numId w:val="1"/>
      </w:numPr>
      <w:overflowPunct w:val="0"/>
      <w:autoSpaceDE w:val="0"/>
      <w:autoSpaceDN w:val="0"/>
      <w:adjustRightInd w:val="0"/>
      <w:spacing w:after="0" w:line="360" w:lineRule="auto"/>
      <w:jc w:val="both"/>
      <w:textAlignment w:val="baseline"/>
    </w:pPr>
    <w:rPr>
      <w:rFonts w:ascii="Arial" w:eastAsia="MS Mincho" w:hAnsi="Arial" w:cs="Arial"/>
      <w:lang w:eastAsia="ja-JP"/>
    </w:rPr>
  </w:style>
  <w:style w:type="paragraph" w:customStyle="1" w:styleId="Sch1styleclause">
    <w:name w:val="Sch  (1style) clause"/>
    <w:basedOn w:val="Normal"/>
    <w:rsid w:val="00187506"/>
    <w:pPr>
      <w:numPr>
        <w:ilvl w:val="2"/>
        <w:numId w:val="2"/>
      </w:numPr>
      <w:overflowPunct w:val="0"/>
      <w:autoSpaceDE w:val="0"/>
      <w:autoSpaceDN w:val="0"/>
      <w:adjustRightInd w:val="0"/>
      <w:spacing w:before="320" w:after="0" w:line="300" w:lineRule="atLeast"/>
      <w:jc w:val="both"/>
      <w:textAlignment w:val="baseline"/>
      <w:outlineLvl w:val="0"/>
    </w:pPr>
    <w:rPr>
      <w:rFonts w:ascii="Times New Roman" w:eastAsia="Times New Roman" w:hAnsi="Times New Roman" w:cs="Arial"/>
      <w:b/>
      <w:smallCaps/>
      <w:szCs w:val="20"/>
    </w:rPr>
  </w:style>
  <w:style w:type="paragraph" w:customStyle="1" w:styleId="Sch1stylesubclause">
    <w:name w:val="Sch  (1style) sub clause"/>
    <w:basedOn w:val="Normal"/>
    <w:rsid w:val="00187506"/>
    <w:pPr>
      <w:numPr>
        <w:ilvl w:val="3"/>
        <w:numId w:val="2"/>
      </w:numPr>
      <w:overflowPunct w:val="0"/>
      <w:autoSpaceDE w:val="0"/>
      <w:autoSpaceDN w:val="0"/>
      <w:adjustRightInd w:val="0"/>
      <w:spacing w:before="280" w:after="120" w:line="300" w:lineRule="atLeast"/>
      <w:jc w:val="both"/>
      <w:textAlignment w:val="baseline"/>
      <w:outlineLvl w:val="1"/>
    </w:pPr>
    <w:rPr>
      <w:rFonts w:ascii="Times New Roman" w:eastAsia="Times New Roman" w:hAnsi="Times New Roman" w:cs="Arial"/>
      <w:color w:val="000000"/>
      <w:szCs w:val="20"/>
    </w:rPr>
  </w:style>
  <w:style w:type="table" w:customStyle="1" w:styleId="18">
    <w:name w:val="18"/>
    <w:basedOn w:val="TableNormal"/>
    <w:rsid w:val="00187506"/>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4B035B"/>
    <w:rPr>
      <w:sz w:val="16"/>
      <w:szCs w:val="16"/>
    </w:rPr>
  </w:style>
  <w:style w:type="paragraph" w:styleId="CommentText">
    <w:name w:val="annotation text"/>
    <w:basedOn w:val="Normal"/>
    <w:link w:val="CommentTextChar"/>
    <w:uiPriority w:val="99"/>
    <w:semiHidden/>
    <w:unhideWhenUsed/>
    <w:rsid w:val="004B035B"/>
    <w:pPr>
      <w:spacing w:line="240" w:lineRule="auto"/>
    </w:pPr>
    <w:rPr>
      <w:sz w:val="20"/>
      <w:szCs w:val="20"/>
    </w:rPr>
  </w:style>
  <w:style w:type="character" w:customStyle="1" w:styleId="CommentTextChar">
    <w:name w:val="Comment Text Char"/>
    <w:basedOn w:val="DefaultParagraphFont"/>
    <w:link w:val="CommentText"/>
    <w:uiPriority w:val="99"/>
    <w:semiHidden/>
    <w:rsid w:val="004B035B"/>
    <w:rPr>
      <w:sz w:val="20"/>
      <w:szCs w:val="20"/>
    </w:rPr>
  </w:style>
  <w:style w:type="paragraph" w:styleId="CommentSubject">
    <w:name w:val="annotation subject"/>
    <w:basedOn w:val="CommentText"/>
    <w:next w:val="CommentText"/>
    <w:link w:val="CommentSubjectChar"/>
    <w:uiPriority w:val="99"/>
    <w:semiHidden/>
    <w:unhideWhenUsed/>
    <w:rsid w:val="004B035B"/>
    <w:rPr>
      <w:b/>
      <w:bCs/>
    </w:rPr>
  </w:style>
  <w:style w:type="character" w:customStyle="1" w:styleId="CommentSubjectChar">
    <w:name w:val="Comment Subject Char"/>
    <w:basedOn w:val="CommentTextChar"/>
    <w:link w:val="CommentSubject"/>
    <w:uiPriority w:val="99"/>
    <w:semiHidden/>
    <w:rsid w:val="004B035B"/>
    <w:rPr>
      <w:b/>
      <w:bCs/>
      <w:sz w:val="20"/>
      <w:szCs w:val="20"/>
    </w:rPr>
  </w:style>
  <w:style w:type="paragraph" w:styleId="BalloonText">
    <w:name w:val="Balloon Text"/>
    <w:basedOn w:val="Normal"/>
    <w:link w:val="BalloonTextChar"/>
    <w:uiPriority w:val="99"/>
    <w:semiHidden/>
    <w:unhideWhenUsed/>
    <w:rsid w:val="004B03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03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152</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7b31d42e-2286-4acd-8cc8-5ed137b0bf41">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HORC Specialist Resourcing (A)</TermName>
          <TermId xmlns="http://schemas.microsoft.com/office/infopath/2007/PartnerControls">248e4666-3e4c-4108-8f71-a51e36751616</TermId>
        </TermInfo>
      </Terms>
    </jb5e598af17141539648acf311d7477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2A61DFA79803CD49812A9BEA856D125C" ma:contentTypeVersion="20" ma:contentTypeDescription="Create a new document." ma:contentTypeScope="" ma:versionID="8d2697e5b0b06e3ab2bbfaf994e0d284">
  <xsd:schema xmlns:xsd="http://www.w3.org/2001/XMLSchema" xmlns:xs="http://www.w3.org/2001/XMLSchema" xmlns:p="http://schemas.microsoft.com/office/2006/metadata/properties" xmlns:ns2="4e9417ab-6472-4075-af16-7dc6074df91e" xmlns:ns3="7b31d42e-2286-4acd-8cc8-5ed137b0bf41" xmlns:ns4="47bee7a9-a607-491b-902b-f70236870b8c" targetNamespace="http://schemas.microsoft.com/office/2006/metadata/properties" ma:root="true" ma:fieldsID="23e017e9211ff0a1dca224f7bf44464d" ns2:_="" ns3:_="" ns4:_="">
    <xsd:import namespace="4e9417ab-6472-4075-af16-7dc6074df91e"/>
    <xsd:import namespace="7b31d42e-2286-4acd-8cc8-5ed137b0bf41"/>
    <xsd:import namespace="47bee7a9-a607-491b-902b-f70236870b8c"/>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lcf76f155ced4ddcb4097134ff3c332f"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4c0c217-7f3c-46a6-8b8c-57ba1f034e2f}" ma:internalName="TaxCatchAll" ma:showField="CatchAllData" ma:web="47bee7a9-a607-491b-902b-f70236870b8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4c0c217-7f3c-46a6-8b8c-57ba1f034e2f}" ma:internalName="TaxCatchAllLabel" ma:readOnly="true" ma:showField="CatchAllDataLabel" ma:web="47bee7a9-a607-491b-902b-f70236870b8c">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1;#HORC Specialist Resourcing (A)|248e4666-3e4c-4108-8f71-a51e36751616"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31d42e-2286-4acd-8cc8-5ed137b0bf41"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AutoTags" ma:index="25" nillable="true" ma:displayName="Tags" ma:internalName="MediaServiceAutoTags"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DateTaken" ma:index="29" nillable="true" ma:displayName="MediaServiceDateTaken" ma:hidden="true" ma:indexed="true" ma:internalName="MediaServiceDateTaken" ma:readOnly="true">
      <xsd:simpleType>
        <xsd:restriction base="dms:Text"/>
      </xsd:simpleType>
    </xsd:element>
    <xsd:element name="MediaLengthInSeconds" ma:index="30" nillable="true" ma:displayName="MediaLengthInSeconds" ma:hidden="true" ma:internalName="MediaLengthInSeconds" ma:readOnly="true">
      <xsd:simpleType>
        <xsd:restriction base="dms:Unknown"/>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SearchProperties" ma:index="3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ee7a9-a607-491b-902b-f70236870b8c"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18W1sKIoXWDLYyMTNB29BMUxleg==">AMUW2mXJq56LqvUTpKYfKT1T5dA08sZcy/wPfmn0lZ1KB7RB8++9OtXdVQSH9oa7nDNAItODKSgscUGWDguMFYZvzOfdKEcdYEmUhN4R56/Fz+5R1B1mhogrNF2n+GrE7qQdOMjv6/h08Vgy0eu3LZ8Ul2VVRsN0IvozLYrQOlnB3ZJAQ0gTbp0F81DIOOjgfCcWrVnOxeWa</go:docsCustomData>
</go:gDocsCustomXmlDataStorage>
</file>

<file path=customXml/itemProps1.xml><?xml version="1.0" encoding="utf-8"?>
<ds:datastoreItem xmlns:ds="http://schemas.openxmlformats.org/officeDocument/2006/customXml" ds:itemID="{0B8500E3-9634-4C74-87F4-0D80C14FD574}">
  <ds:schemaRefs>
    <ds:schemaRef ds:uri="http://schemas.microsoft.com/office/2006/metadata/properties"/>
    <ds:schemaRef ds:uri="http://schemas.microsoft.com/office/infopath/2007/PartnerControls"/>
    <ds:schemaRef ds:uri="4e9417ab-6472-4075-af16-7dc6074df91e"/>
    <ds:schemaRef ds:uri="7b31d42e-2286-4acd-8cc8-5ed137b0bf41"/>
  </ds:schemaRefs>
</ds:datastoreItem>
</file>

<file path=customXml/itemProps2.xml><?xml version="1.0" encoding="utf-8"?>
<ds:datastoreItem xmlns:ds="http://schemas.openxmlformats.org/officeDocument/2006/customXml" ds:itemID="{A0D554BD-A116-41BC-964F-F70647E698BC}">
  <ds:schemaRefs>
    <ds:schemaRef ds:uri="http://schemas.microsoft.com/sharepoint/v3/contenttype/forms"/>
  </ds:schemaRefs>
</ds:datastoreItem>
</file>

<file path=customXml/itemProps3.xml><?xml version="1.0" encoding="utf-8"?>
<ds:datastoreItem xmlns:ds="http://schemas.openxmlformats.org/officeDocument/2006/customXml" ds:itemID="{46762C06-879D-4F85-A1B6-A01A33C832FB}">
  <ds:schemaRefs>
    <ds:schemaRef ds:uri="Microsoft.SharePoint.Taxonomy.ContentTypeSync"/>
  </ds:schemaRefs>
</ds:datastoreItem>
</file>

<file path=customXml/itemProps4.xml><?xml version="1.0" encoding="utf-8"?>
<ds:datastoreItem xmlns:ds="http://schemas.openxmlformats.org/officeDocument/2006/customXml" ds:itemID="{35FCA72A-42D1-4875-87BC-35697C0D7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b31d42e-2286-4acd-8cc8-5ed137b0bf41"/>
    <ds:schemaRef ds:uri="47bee7a9-a607-491b-902b-f70236870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3376</Words>
  <Characters>19247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Gail Thomas</cp:lastModifiedBy>
  <cp:revision>2</cp:revision>
  <dcterms:created xsi:type="dcterms:W3CDTF">2024-08-22T12:31:00Z</dcterms:created>
  <dcterms:modified xsi:type="dcterms:W3CDTF">2024-08-22T12:31:00Z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0x010100A5BF1C78D9F64B679A5EBDE1C6598EBC01002A61DFA79803CD49812A9BEA856D125C</vt:lpwstr>
  </property>
  <property fmtid="{D5CDD505-2E9C-101B-9397-08002B2CF9AE}" pid="3" name="HOGovernmentSecurityClassification">
    <vt:lpwstr>1;#Official|14c80daa-741b-422c-9722-f71693c9ede4</vt:lpwstr>
  </property>
  <property fmtid="{D5CDD505-2E9C-101B-9397-08002B2CF9AE}" pid="4" name="HOSiteType">
    <vt:lpwstr>4;#Process – Standard|cf511cbb-bd16-4156-ac78-90d0c4fce91f</vt:lpwstr>
  </property>
  <property fmtid="{D5CDD505-2E9C-101B-9397-08002B2CF9AE}" pid="5" name="HOCopyrightLevel">
    <vt:lpwstr>2;#Crown|69589897-2828-4761-976e-717fd8e631c9</vt:lpwstr>
  </property>
  <property fmtid="{D5CDD505-2E9C-101B-9397-08002B2CF9AE}" pid="6" name="HOBusinessUnit">
    <vt:lpwstr>152;#HORC Specialist Resourcing (A)|248e4666-3e4c-4108-8f71-a51e36751616</vt:lpwstr>
  </property>
  <property fmtid="{D5CDD505-2E9C-101B-9397-08002B2CF9AE}" pid="7" name="MediaServiceImageTags">
    <vt:lpwstr/>
  </property>
</Properties>
</file>